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C837EB">
        <w:rPr>
          <w:b/>
        </w:rPr>
        <w:t>8</w:t>
      </w:r>
      <w:r w:rsidR="001F6822">
        <w:rPr>
          <w:b/>
        </w:rPr>
        <w:t xml:space="preserve">, aktualizováno </w:t>
      </w:r>
      <w:r w:rsidR="00C837EB">
        <w:rPr>
          <w:b/>
        </w:rPr>
        <w:t>2.9</w:t>
      </w:r>
      <w:r w:rsidR="001F6822">
        <w:rPr>
          <w:b/>
        </w:rPr>
        <w:t>. 2020</w:t>
      </w:r>
      <w:r>
        <w:rPr>
          <w:b/>
        </w:rPr>
        <w:t>)</w:t>
      </w:r>
    </w:p>
    <w:p w:rsidR="00F1500C" w:rsidRPr="00FA6DE0" w:rsidRDefault="00F1500C" w:rsidP="00F1500C">
      <w:pPr>
        <w:jc w:val="center"/>
        <w:rPr>
          <w:b/>
        </w:rPr>
      </w:pPr>
    </w:p>
    <w:p w:rsidR="008E38E2" w:rsidRDefault="008E38E2" w:rsidP="008E38E2">
      <w:pPr>
        <w:pStyle w:val="Nadpis1"/>
      </w:pPr>
      <w:r>
        <w:t>Datové rozhraní</w:t>
      </w:r>
    </w:p>
    <w:p w:rsidR="008E38E2" w:rsidRPr="008E38E2" w:rsidRDefault="008E38E2" w:rsidP="008E38E2"/>
    <w:p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4, verze 04.20.0</w:t>
      </w:r>
      <w:r w:rsidR="00D87E22">
        <w:t>2</w:t>
      </w:r>
      <w:r w:rsidRPr="00FA6DE0">
        <w:t xml:space="preserve"> a Národním číselníku laboratorních položek (NČLP) verze 2.69.0</w:t>
      </w:r>
      <w:r w:rsidR="00D87E22">
        <w:t>2</w:t>
      </w:r>
      <w:r w:rsidRPr="00FA6DE0">
        <w:t xml:space="preserve">. Tento formát mají laboratorní systémy v ČR běžně implementovaný. </w:t>
      </w:r>
      <w:r w:rsidR="005926DF" w:rsidRPr="00FA6DE0">
        <w:t xml:space="preserve">Využíván je blok </w:t>
      </w:r>
      <w:proofErr w:type="spellStart"/>
      <w:r w:rsidR="005926DF" w:rsidRPr="00FA6DE0">
        <w:t>k_z_lab</w:t>
      </w:r>
      <w:proofErr w:type="spellEnd"/>
      <w:r w:rsidR="005926DF" w:rsidRPr="00FA6DE0">
        <w:t xml:space="preserve"> s formalizovaným blokem </w:t>
      </w:r>
      <w:proofErr w:type="spellStart"/>
      <w:r w:rsidR="005926DF" w:rsidRPr="00FA6DE0">
        <w:t>vrf</w:t>
      </w:r>
      <w:proofErr w:type="spellEnd"/>
      <w:r w:rsidR="005926DF" w:rsidRPr="00FA6DE0">
        <w:t xml:space="preserve">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</w:t>
      </w:r>
      <w:proofErr w:type="spellStart"/>
      <w:r w:rsidR="00C12088" w:rsidRPr="00FA6DE0">
        <w:t>žádankového</w:t>
      </w:r>
      <w:proofErr w:type="spellEnd"/>
      <w:r w:rsidR="00C12088" w:rsidRPr="00FA6DE0">
        <w:t xml:space="preserve"> systému)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:rsidR="00FA6DE0" w:rsidRPr="00FA6DE0" w:rsidRDefault="00FA6DE0" w:rsidP="004E0DD4"/>
    <w:p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>SARS CoV-</w:t>
      </w:r>
      <w:proofErr w:type="gramStart"/>
      <w:r w:rsidRPr="00FA6DE0">
        <w:t xml:space="preserve">2 </w:t>
      </w:r>
      <w:r>
        <w:t xml:space="preserve"> vyšetření</w:t>
      </w:r>
      <w:proofErr w:type="gramEnd"/>
      <w:r w:rsidR="00575367">
        <w:t xml:space="preserve"> (tučně preferované varianty)</w:t>
      </w:r>
      <w:r>
        <w:t xml:space="preserve"> </w:t>
      </w:r>
      <w:r w:rsidRPr="00FA6DE0">
        <w:t xml:space="preserve">: </w:t>
      </w:r>
    </w:p>
    <w:p w:rsidR="004E0DD4" w:rsidRPr="00FA6DE0" w:rsidRDefault="004E0DD4" w:rsidP="004E0DD4">
      <w:pPr>
        <w:rPr>
          <w:b/>
        </w:rPr>
      </w:pPr>
      <w:r w:rsidRPr="00FA6DE0">
        <w:rPr>
          <w:b/>
        </w:rPr>
        <w:t xml:space="preserve">A. PCR </w:t>
      </w:r>
      <w:proofErr w:type="gramStart"/>
      <w:r w:rsidRPr="00FA6DE0">
        <w:rPr>
          <w:b/>
        </w:rPr>
        <w:t>vyšetření - kvalitativně</w:t>
      </w:r>
      <w:proofErr w:type="gramEnd"/>
    </w:p>
    <w:p w:rsidR="004E0DD4" w:rsidRPr="00FA6DE0" w:rsidRDefault="004E0DD4" w:rsidP="004E0DD4">
      <w:r w:rsidRPr="00FA6DE0">
        <w:t>19934 RNA viru SARS CoV-2 (SPCORL; přítomnost [-] *</w:t>
      </w:r>
      <w:proofErr w:type="gramStart"/>
      <w:r w:rsidRPr="00FA6DE0">
        <w:t xml:space="preserve">) </w:t>
      </w:r>
      <w:r w:rsidR="00575367">
        <w:t xml:space="preserve"> -</w:t>
      </w:r>
      <w:proofErr w:type="gramEnd"/>
      <w:r w:rsidR="00575367">
        <w:t xml:space="preserve"> stěr z oblasti ORL, obecná metoda stanovení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t xml:space="preserve">19935 RNA viru SARS CoV-2 (SPCORL; přítomnost [-] </w:t>
      </w:r>
      <w:proofErr w:type="gramStart"/>
      <w:r w:rsidRPr="00575367">
        <w:rPr>
          <w:b/>
        </w:rPr>
        <w:t>PCR)</w:t>
      </w:r>
      <w:r w:rsidR="00575367">
        <w:rPr>
          <w:b/>
        </w:rPr>
        <w:t xml:space="preserve">  -</w:t>
      </w:r>
      <w:proofErr w:type="gramEnd"/>
      <w:r w:rsidR="00575367">
        <w:rPr>
          <w:b/>
        </w:rPr>
        <w:t xml:space="preserve"> stěr z oblasti ORL, PCR metoda</w:t>
      </w:r>
    </w:p>
    <w:p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lastRenderedPageBreak/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:rsidR="00FA6DE0" w:rsidRPr="00FA6DE0" w:rsidRDefault="00FA6DE0" w:rsidP="004E0DD4"/>
    <w:p w:rsidR="00575367" w:rsidRDefault="00FA6DE0" w:rsidP="00575367">
      <w:pPr>
        <w:pStyle w:val="Bezmezer"/>
        <w:rPr>
          <w:rFonts w:cs="Arial"/>
          <w:szCs w:val="20"/>
          <w:lang w:eastAsia="cs-CZ"/>
        </w:rPr>
      </w:pPr>
      <w:r w:rsidRPr="00FA6DE0">
        <w:t>Systém SPCORL zahrnuje výtěry z oblasti ORL</w:t>
      </w:r>
      <w:r w:rsidR="00575367">
        <w:t xml:space="preserve"> (</w:t>
      </w:r>
      <w:r w:rsidR="00575367">
        <w:rPr>
          <w:rFonts w:cs="Arial"/>
          <w:szCs w:val="20"/>
          <w:lang w:eastAsia="cs-CZ"/>
        </w:rPr>
        <w:t xml:space="preserve">horní cesty dýchací). V atributu </w:t>
      </w:r>
      <w:proofErr w:type="spellStart"/>
      <w:r w:rsidR="00575367">
        <w:rPr>
          <w:rFonts w:cs="Arial"/>
          <w:color w:val="FF0000"/>
          <w:szCs w:val="20"/>
          <w:highlight w:val="white"/>
        </w:rPr>
        <w:t>syst_</w:t>
      </w:r>
      <w:proofErr w:type="gramStart"/>
      <w:r w:rsidR="00575367">
        <w:rPr>
          <w:rFonts w:cs="Arial"/>
          <w:color w:val="FF0000"/>
          <w:szCs w:val="20"/>
          <w:highlight w:val="white"/>
        </w:rPr>
        <w:t>klic</w:t>
      </w:r>
      <w:proofErr w:type="spellEnd"/>
      <w:r w:rsidR="00575367">
        <w:rPr>
          <w:rFonts w:cs="Arial"/>
          <w:szCs w:val="20"/>
          <w:lang w:eastAsia="cs-CZ"/>
        </w:rPr>
        <w:t xml:space="preserve">  je</w:t>
      </w:r>
      <w:proofErr w:type="gramEnd"/>
      <w:r w:rsidR="00575367">
        <w:rPr>
          <w:rFonts w:cs="Arial"/>
          <w:szCs w:val="20"/>
          <w:lang w:eastAsia="cs-CZ"/>
        </w:rPr>
        <w:t xml:space="preserve"> možná bližší specifikace:</w:t>
      </w:r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</w:rPr>
            </w:pPr>
            <w:proofErr w:type="spellStart"/>
            <w:r w:rsidRPr="007945D1">
              <w:rPr>
                <w:b/>
                <w:highlight w:val="white"/>
              </w:rPr>
              <w:t>syst_klic</w:t>
            </w:r>
            <w:proofErr w:type="spellEnd"/>
            <w:r w:rsidRPr="007945D1">
              <w:rPr>
                <w:b/>
              </w:rPr>
              <w:t xml:space="preserve">  </w:t>
            </w:r>
          </w:p>
        </w:tc>
        <w:tc>
          <w:tcPr>
            <w:tcW w:w="4531" w:type="dxa"/>
          </w:tcPr>
          <w:p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</w:tbl>
    <w:p w:rsidR="007945D1" w:rsidRDefault="000F0446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:rsidR="00FA6DE0" w:rsidRDefault="00FA6DE0" w:rsidP="00FA6DE0">
      <w:r w:rsidRPr="00FA6DE0">
        <w:t>Další testy jsou z materiálů krev, rozlišuje se plazma (P) a sérum (S).</w:t>
      </w:r>
    </w:p>
    <w:p w:rsidR="00675CD9" w:rsidRDefault="00675CD9" w:rsidP="00675CD9">
      <w:pPr>
        <w:rPr>
          <w:rFonts w:cs="Arial"/>
          <w:b/>
          <w:szCs w:val="20"/>
        </w:rPr>
      </w:pPr>
      <w:r>
        <w:rPr>
          <w:b/>
        </w:rPr>
        <w:t>B</w:t>
      </w:r>
      <w:r w:rsidRPr="00FA6DE0">
        <w:rPr>
          <w:b/>
        </w:rPr>
        <w:t xml:space="preserve">. </w:t>
      </w:r>
      <w:r>
        <w:rPr>
          <w:rFonts w:cs="Arial"/>
          <w:b/>
          <w:szCs w:val="20"/>
        </w:rPr>
        <w:t>P</w:t>
      </w:r>
      <w:r w:rsidRPr="00570F58">
        <w:rPr>
          <w:rFonts w:cs="Arial"/>
          <w:b/>
          <w:szCs w:val="20"/>
        </w:rPr>
        <w:t>rotilátky proti SARS CoV-</w:t>
      </w:r>
      <w:proofErr w:type="gramStart"/>
      <w:r w:rsidRPr="00570F58">
        <w:rPr>
          <w:rFonts w:cs="Arial"/>
          <w:b/>
          <w:szCs w:val="20"/>
        </w:rPr>
        <w:t xml:space="preserve">2 </w:t>
      </w:r>
      <w:r>
        <w:rPr>
          <w:rFonts w:cs="Arial"/>
          <w:b/>
          <w:szCs w:val="20"/>
        </w:rPr>
        <w:t xml:space="preserve"> -</w:t>
      </w:r>
      <w:proofErr w:type="gramEnd"/>
      <w:r>
        <w:rPr>
          <w:rFonts w:cs="Arial"/>
          <w:b/>
          <w:szCs w:val="20"/>
        </w:rPr>
        <w:t xml:space="preserve"> RAPID TEST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675CD9">
        <w:t>50368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675CD9">
        <w:rPr>
          <w:rFonts w:cs="Arial"/>
          <w:b/>
          <w:color w:val="FF0000"/>
          <w:szCs w:val="20"/>
        </w:rPr>
        <w:t>IgM</w:t>
      </w:r>
      <w:proofErr w:type="spellEnd"/>
      <w:r w:rsidRPr="00570F58">
        <w:rPr>
          <w:rFonts w:cs="Arial"/>
          <w:szCs w:val="20"/>
        </w:rPr>
        <w:t xml:space="preserve"> 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B15485">
        <w:rPr>
          <w:rFonts w:cs="Arial"/>
          <w:i/>
          <w:szCs w:val="20"/>
        </w:rPr>
        <w:t xml:space="preserve"> - „rapid test“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675CD9">
        <w:rPr>
          <w:rFonts w:cs="Arial"/>
          <w:szCs w:val="20"/>
        </w:rPr>
        <w:t>50364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675CD9">
        <w:rPr>
          <w:rFonts w:cs="Arial"/>
          <w:b/>
          <w:color w:val="FF0000"/>
          <w:szCs w:val="20"/>
        </w:rPr>
        <w:t>IgG</w:t>
      </w:r>
      <w:proofErr w:type="spellEnd"/>
      <w:r w:rsidRPr="00675CD9">
        <w:rPr>
          <w:rFonts w:cs="Arial"/>
          <w:color w:val="FF0000"/>
          <w:szCs w:val="20"/>
        </w:rPr>
        <w:t xml:space="preserve"> </w:t>
      </w:r>
      <w:r w:rsidRPr="00570F58">
        <w:rPr>
          <w:rFonts w:cs="Arial"/>
          <w:szCs w:val="20"/>
        </w:rPr>
        <w:t xml:space="preserve">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810BE7">
        <w:rPr>
          <w:rFonts w:cs="Arial"/>
          <w:i/>
          <w:szCs w:val="20"/>
        </w:rPr>
        <w:t xml:space="preserve"> - „rapid test“</w:t>
      </w:r>
    </w:p>
    <w:p w:rsidR="00675CD9" w:rsidRPr="00FA6DE0" w:rsidRDefault="00675CD9" w:rsidP="00FA6DE0"/>
    <w:p w:rsidR="00FA6DE0" w:rsidRPr="00FA6DE0" w:rsidRDefault="00675CD9" w:rsidP="00FA6DE0">
      <w:pPr>
        <w:rPr>
          <w:b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</w:p>
    <w:p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50369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19941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50370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19938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50365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19939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IA)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50366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50356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(B);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50358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50359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50361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570F58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50362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Default="00471241" w:rsidP="00471241">
      <w:pPr>
        <w:pStyle w:val="Bezmezer"/>
        <w:rPr>
          <w:rFonts w:cs="Arial"/>
          <w:szCs w:val="20"/>
        </w:rPr>
      </w:pPr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proofErr w:type="spellStart"/>
      <w:r w:rsidRPr="00471241">
        <w:rPr>
          <w:rFonts w:cs="Arial"/>
          <w:szCs w:val="20"/>
        </w:rPr>
        <w:t>Immunoassay</w:t>
      </w:r>
      <w:proofErr w:type="spellEnd"/>
      <w:r>
        <w:rPr>
          <w:rFonts w:cs="Arial"/>
          <w:szCs w:val="20"/>
        </w:rPr>
        <w:t xml:space="preserve"> (EIA/ELISA), ICHR = </w:t>
      </w:r>
      <w:proofErr w:type="spellStart"/>
      <w:r w:rsidRPr="00471241">
        <w:rPr>
          <w:rFonts w:cs="Arial"/>
          <w:szCs w:val="20"/>
        </w:rPr>
        <w:t>Immunochromatography</w:t>
      </w:r>
      <w:proofErr w:type="spellEnd"/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P=plasma, S=</w:t>
      </w:r>
      <w:proofErr w:type="spellStart"/>
      <w:r>
        <w:rPr>
          <w:rFonts w:cs="Arial"/>
          <w:szCs w:val="20"/>
        </w:rPr>
        <w:t>serum</w:t>
      </w:r>
      <w:proofErr w:type="spellEnd"/>
    </w:p>
    <w:p w:rsidR="00FA6DE0" w:rsidRDefault="00FA6DE0" w:rsidP="00FA6DE0"/>
    <w:p w:rsidR="00B57C93" w:rsidRDefault="00B57C93" w:rsidP="00FA6DE0">
      <w:r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:rsidR="00B57C93" w:rsidRPr="00FA6DE0" w:rsidRDefault="00B57C93" w:rsidP="00FA6DE0"/>
    <w:p w:rsidR="005C619D" w:rsidRDefault="005C619D" w:rsidP="00FA6DE0">
      <w:r>
        <w:t xml:space="preserve">Seznam může být v blízké budoucnosti dále rozšiřován. </w:t>
      </w:r>
    </w:p>
    <w:p w:rsidR="005C619D" w:rsidRDefault="005C619D" w:rsidP="00FA6DE0"/>
    <w:p w:rsidR="00FA6DE0" w:rsidRDefault="00FA6DE0" w:rsidP="00FA6DE0">
      <w:r>
        <w:t xml:space="preserve">Výsledek vyšetření je třeba zaslat v bloku </w:t>
      </w:r>
      <w:proofErr w:type="spellStart"/>
      <w:r>
        <w:t>vrf</w:t>
      </w:r>
      <w:proofErr w:type="spellEnd"/>
      <w:r w:rsidR="003A608B">
        <w:t xml:space="preserve">, s využitím číselníkových položek.  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lastRenderedPageBreak/>
        <w:t>&lt;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</w:t>
      </w:r>
      <w:proofErr w:type="spellStart"/>
      <w:r w:rsidRPr="009B2D25">
        <w:rPr>
          <w:rFonts w:ascii="Courier New" w:hAnsi="Courier New" w:cs="Courier New"/>
          <w:b/>
          <w:sz w:val="18"/>
        </w:rPr>
        <w:t>hodnota_</w:t>
      </w:r>
      <w:proofErr w:type="gramStart"/>
      <w:r w:rsidRPr="009B2D25">
        <w:rPr>
          <w:rFonts w:ascii="Courier New" w:hAnsi="Courier New" w:cs="Courier New"/>
          <w:b/>
          <w:sz w:val="18"/>
        </w:rPr>
        <w:t>kod</w:t>
      </w:r>
      <w:proofErr w:type="spellEnd"/>
      <w:r w:rsidRPr="009B2D25">
        <w:rPr>
          <w:rFonts w:ascii="Courier New" w:hAnsi="Courier New" w:cs="Courier New"/>
          <w:b/>
          <w:sz w:val="18"/>
        </w:rPr>
        <w:t>&gt;POZIT</w:t>
      </w:r>
      <w:proofErr w:type="gramEnd"/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Default="00FA6DE0" w:rsidP="00FA6DE0"/>
    <w:p w:rsidR="00592C67" w:rsidRDefault="00592C67" w:rsidP="00592C67">
      <w:pPr>
        <w:pStyle w:val="Titulek"/>
        <w:keepNext/>
      </w:pPr>
      <w:r>
        <w:t xml:space="preserve">Tabulka </w:t>
      </w:r>
      <w:r w:rsidR="000F0446">
        <w:fldChar w:fldCharType="begin"/>
      </w:r>
      <w:r w:rsidR="000F0446">
        <w:instrText xml:space="preserve"> SEQ Tabulka \* ARABIC </w:instrText>
      </w:r>
      <w:r w:rsidR="000F0446">
        <w:fldChar w:fldCharType="separate"/>
      </w:r>
      <w:r w:rsidR="00D30E89">
        <w:rPr>
          <w:noProof/>
        </w:rPr>
        <w:t>1</w:t>
      </w:r>
      <w:r w:rsidR="000F0446">
        <w:rPr>
          <w:noProof/>
        </w:rPr>
        <w:fldChar w:fldCharType="end"/>
      </w:r>
      <w:r>
        <w:t>-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</w:tbl>
    <w:p w:rsidR="003A608B" w:rsidRPr="00FA6DE0" w:rsidRDefault="003A608B" w:rsidP="00FA6DE0"/>
    <w:p w:rsidR="00E33C53" w:rsidRPr="00E33C53" w:rsidRDefault="00E33C53" w:rsidP="009B2D25">
      <w:pPr>
        <w:spacing w:after="0" w:line="240" w:lineRule="auto"/>
      </w:pPr>
      <w:r w:rsidRPr="00E33C53"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:rsidR="00E33C53" w:rsidRDefault="00E33C53" w:rsidP="009B2D25">
      <w:pPr>
        <w:spacing w:after="0" w:line="240" w:lineRule="auto"/>
        <w:rPr>
          <w:b/>
        </w:rPr>
      </w:pP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 xml:space="preserve">&lt;vrb </w:t>
      </w:r>
      <w:proofErr w:type="spellStart"/>
      <w:r w:rsidRPr="00E33C53">
        <w:rPr>
          <w:rFonts w:ascii="Courier New" w:hAnsi="Courier New" w:cs="Courier New"/>
          <w:b/>
          <w:sz w:val="16"/>
        </w:rPr>
        <w:t>typ_vzniku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="N" </w:t>
      </w:r>
      <w:proofErr w:type="spellStart"/>
      <w:r w:rsidRPr="00E33C53">
        <w:rPr>
          <w:rFonts w:ascii="Courier New" w:hAnsi="Courier New" w:cs="Courier New"/>
          <w:b/>
          <w:sz w:val="16"/>
        </w:rPr>
        <w:t>misto_vzniku</w:t>
      </w:r>
      <w:proofErr w:type="spellEnd"/>
      <w:r w:rsidRPr="00E33C53">
        <w:rPr>
          <w:rFonts w:ascii="Courier New" w:hAnsi="Courier New" w:cs="Courier New"/>
          <w:b/>
          <w:sz w:val="16"/>
        </w:rPr>
        <w:t>="L" autorizace="N"&gt;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&lt;text&gt;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 </w:t>
      </w:r>
      <w:proofErr w:type="spellStart"/>
      <w:proofErr w:type="gramStart"/>
      <w:r w:rsidRPr="00E33C53">
        <w:rPr>
          <w:rFonts w:ascii="Courier New" w:hAnsi="Courier New" w:cs="Courier New"/>
          <w:b/>
          <w:sz w:val="16"/>
        </w:rPr>
        <w:t>xml:space</w:t>
      </w:r>
      <w:proofErr w:type="spellEnd"/>
      <w:proofErr w:type="gramEnd"/>
      <w:r w:rsidRPr="00E33C53">
        <w:rPr>
          <w:rFonts w:ascii="Courier New" w:hAnsi="Courier New" w:cs="Courier New"/>
          <w:b/>
          <w:sz w:val="16"/>
        </w:rPr>
        <w:t>="</w:t>
      </w:r>
      <w:proofErr w:type="spellStart"/>
      <w:r w:rsidRPr="00E33C53">
        <w:rPr>
          <w:rFonts w:ascii="Courier New" w:hAnsi="Courier New" w:cs="Courier New"/>
          <w:b/>
          <w:sz w:val="16"/>
        </w:rPr>
        <w:t>preserve</w:t>
      </w:r>
      <w:proofErr w:type="spellEnd"/>
      <w:r w:rsidRPr="00E33C53">
        <w:rPr>
          <w:rFonts w:ascii="Courier New" w:hAnsi="Courier New" w:cs="Courier New"/>
          <w:b/>
          <w:sz w:val="16"/>
        </w:rPr>
        <w:t>"&gt;Kontrolní&lt;/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>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&lt;/text&gt;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&lt;/vrb&gt;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</w:p>
    <w:p w:rsidR="00E33C53" w:rsidRDefault="00E33C53" w:rsidP="00E33C53">
      <w:pPr>
        <w:spacing w:after="0" w:line="240" w:lineRule="auto"/>
      </w:pPr>
      <w:r w:rsidRPr="00E33C53">
        <w:t>Uvedený text musí obsahovat řetězec „Kontrolní”</w:t>
      </w:r>
      <w:r>
        <w:t>.</w:t>
      </w:r>
    </w:p>
    <w:p w:rsidR="00C60ACE" w:rsidRDefault="00C60ACE" w:rsidP="00E33C53">
      <w:pPr>
        <w:spacing w:after="0" w:line="240" w:lineRule="auto"/>
      </w:pPr>
    </w:p>
    <w:p w:rsidR="00D30050" w:rsidRDefault="00D30050" w:rsidP="00D30050">
      <w:r w:rsidRPr="00FA6DE0">
        <w:t>XML soubor musí být formálně validní dle XSD schémat a musí splňovat pravidla DASTA standardu.</w:t>
      </w:r>
    </w:p>
    <w:p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:rsidR="00C12088" w:rsidRDefault="00C60ACE" w:rsidP="00A81E07">
      <w:pPr>
        <w:spacing w:after="0" w:line="240" w:lineRule="auto"/>
      </w:pPr>
      <w:r>
        <w:t xml:space="preserve">Portál standardu DASTA </w:t>
      </w:r>
      <w:proofErr w:type="gramStart"/>
      <w:r>
        <w:t>4 :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:rsidR="00C60ACE" w:rsidRDefault="00C60ACE" w:rsidP="00A81E07">
      <w:pPr>
        <w:spacing w:after="0" w:line="240" w:lineRule="auto"/>
      </w:pPr>
    </w:p>
    <w:p w:rsidR="00C60ACE" w:rsidRDefault="00C60ACE" w:rsidP="00A81E07">
      <w:pPr>
        <w:spacing w:after="0" w:line="240" w:lineRule="auto"/>
      </w:pPr>
      <w:r>
        <w:t>Jednotlivé bloky:</w:t>
      </w:r>
    </w:p>
    <w:p w:rsidR="00D30E89" w:rsidRDefault="00D30E89" w:rsidP="00A81E07">
      <w:pPr>
        <w:spacing w:after="0" w:line="240" w:lineRule="auto"/>
      </w:pPr>
    </w:p>
    <w:p w:rsidR="00D30E89" w:rsidRDefault="00D30E89" w:rsidP="00D30E89">
      <w:pPr>
        <w:pStyle w:val="Titulek"/>
        <w:keepNext/>
      </w:pPr>
      <w:r>
        <w:t xml:space="preserve">Tabulka </w:t>
      </w:r>
      <w:r w:rsidR="000F0446">
        <w:fldChar w:fldCharType="begin"/>
      </w:r>
      <w:r w:rsidR="000F0446">
        <w:instrText xml:space="preserve"> SEQ Tabulka \* ARABIC </w:instrText>
      </w:r>
      <w:r w:rsidR="000F0446">
        <w:fldChar w:fldCharType="separate"/>
      </w:r>
      <w:r>
        <w:rPr>
          <w:noProof/>
        </w:rPr>
        <w:t>2</w:t>
      </w:r>
      <w:r w:rsidR="000F0446">
        <w:rPr>
          <w:noProof/>
        </w:rPr>
        <w:fldChar w:fldCharType="end"/>
      </w:r>
      <w:r>
        <w:t xml:space="preserve"> -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:rsidTr="00C60ACE">
        <w:tc>
          <w:tcPr>
            <w:tcW w:w="1980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:rsidTr="00C60ACE">
        <w:tc>
          <w:tcPr>
            <w:tcW w:w="1980" w:type="dxa"/>
          </w:tcPr>
          <w:p w:rsidR="00C60ACE" w:rsidRDefault="00C60ACE" w:rsidP="00A81E07">
            <w:proofErr w:type="spellStart"/>
            <w:r>
              <w:t>dasta</w:t>
            </w:r>
            <w:proofErr w:type="spellEnd"/>
          </w:p>
        </w:tc>
        <w:tc>
          <w:tcPr>
            <w:tcW w:w="5245" w:type="dxa"/>
          </w:tcPr>
          <w:p w:rsidR="00C60ACE" w:rsidRDefault="000F0446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is</w:t>
            </w:r>
            <w:proofErr w:type="spellEnd"/>
          </w:p>
        </w:tc>
        <w:tc>
          <w:tcPr>
            <w:tcW w:w="5245" w:type="dxa"/>
          </w:tcPr>
          <w:p w:rsidR="00C60ACE" w:rsidRDefault="000F0446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ip</w:t>
            </w:r>
            <w:proofErr w:type="spellEnd"/>
          </w:p>
        </w:tc>
        <w:tc>
          <w:tcPr>
            <w:tcW w:w="5245" w:type="dxa"/>
          </w:tcPr>
          <w:p w:rsidR="00C60ACE" w:rsidRDefault="000F0446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ku_z</w:t>
            </w:r>
            <w:proofErr w:type="spellEnd"/>
          </w:p>
        </w:tc>
        <w:tc>
          <w:tcPr>
            <w:tcW w:w="5245" w:type="dxa"/>
          </w:tcPr>
          <w:p w:rsidR="00C60ACE" w:rsidRDefault="000F0446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:rsidTr="00C60ACE">
        <w:tc>
          <w:tcPr>
            <w:tcW w:w="1980" w:type="dxa"/>
          </w:tcPr>
          <w:p w:rsidR="00D30E89" w:rsidRDefault="00D30E89" w:rsidP="00A81E07">
            <w:proofErr w:type="spellStart"/>
            <w:r>
              <w:t>ku_z_lab</w:t>
            </w:r>
            <w:proofErr w:type="spellEnd"/>
          </w:p>
        </w:tc>
        <w:tc>
          <w:tcPr>
            <w:tcW w:w="5245" w:type="dxa"/>
          </w:tcPr>
          <w:p w:rsidR="00D30E89" w:rsidRDefault="000F0446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:rsidR="00C60ACE" w:rsidRDefault="00C60ACE" w:rsidP="00A81E07">
      <w:pPr>
        <w:spacing w:after="0" w:line="240" w:lineRule="auto"/>
      </w:pPr>
    </w:p>
    <w:p w:rsidR="008E38E2" w:rsidRDefault="001C1FB5" w:rsidP="00A208CF">
      <w:pPr>
        <w:rPr>
          <w:b/>
          <w:sz w:val="28"/>
        </w:rPr>
      </w:pPr>
      <w:r>
        <w:rPr>
          <w:b/>
          <w:sz w:val="28"/>
        </w:rPr>
        <w:t>Vzorový soubor</w:t>
      </w:r>
    </w:p>
    <w:p w:rsidR="007038EE" w:rsidRPr="007038EE" w:rsidRDefault="007038EE" w:rsidP="00A208CF">
      <w:pPr>
        <w:rPr>
          <w:sz w:val="20"/>
        </w:rPr>
      </w:pPr>
      <w:r w:rsidRPr="007038EE">
        <w:rPr>
          <w:sz w:val="20"/>
        </w:rPr>
        <w:t>Komentovaný vzorový soubor</w:t>
      </w:r>
      <w:r>
        <w:rPr>
          <w:sz w:val="20"/>
        </w:rPr>
        <w:t>:</w:t>
      </w:r>
    </w:p>
    <w:p w:rsidR="001C1FB5" w:rsidRPr="00577D28" w:rsidRDefault="00B5786D" w:rsidP="00A208CF">
      <w:pPr>
        <w:rPr>
          <w:b/>
          <w:sz w:val="28"/>
          <w:lang w:val="en-US"/>
        </w:rPr>
      </w:pPr>
      <w:r>
        <w:object w:dxaOrig="1516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Package" ShapeID="_x0000_i1025" DrawAspect="Icon" ObjectID="_1660591744" r:id="rId13"/>
        </w:object>
      </w:r>
      <w:r w:rsidR="004E252F" w:rsidRPr="004E252F">
        <w:t xml:space="preserve"> </w:t>
      </w:r>
      <w:r w:rsidR="004E252F">
        <w:object w:dxaOrig="1528" w:dyaOrig="985">
          <v:shape id="_x0000_i1026" type="#_x0000_t75" style="width:76.2pt;height:49.2pt" o:ole="">
            <v:imagedata r:id="rId14" o:title=""/>
          </v:shape>
          <o:OLEObject Type="Embed" ProgID="Package" ShapeID="_x0000_i1026" DrawAspect="Icon" ObjectID="_1660591745" r:id="rId15"/>
        </w:object>
      </w:r>
    </w:p>
    <w:p w:rsidR="001F6822" w:rsidRDefault="001F6822" w:rsidP="008E38E2">
      <w:pPr>
        <w:pStyle w:val="Nadpis1"/>
      </w:pPr>
      <w:r>
        <w:t>Únikové varianty při zasílání historických dat</w:t>
      </w:r>
    </w:p>
    <w:p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:rsidTr="001F6822">
        <w:tc>
          <w:tcPr>
            <w:tcW w:w="2405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lastRenderedPageBreak/>
              <w:t>Položka</w:t>
            </w:r>
          </w:p>
        </w:tc>
        <w:tc>
          <w:tcPr>
            <w:tcW w:w="6657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:rsidTr="001F6822">
        <w:tc>
          <w:tcPr>
            <w:tcW w:w="2405" w:type="dxa"/>
          </w:tcPr>
          <w:p w:rsidR="001F6822" w:rsidRPr="00FA6DE0" w:rsidRDefault="001F6822" w:rsidP="001F6822">
            <w:r w:rsidRPr="00FA6DE0">
              <w:t>IČP žadatele o vyšetření</w:t>
            </w:r>
          </w:p>
          <w:p w:rsidR="001F6822" w:rsidRDefault="001F6822" w:rsidP="001F6822"/>
        </w:tc>
        <w:tc>
          <w:tcPr>
            <w:tcW w:w="6657" w:type="dxa"/>
          </w:tcPr>
          <w:p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</w:t>
            </w:r>
            <w:proofErr w:type="spellStart"/>
            <w:r w:rsidRPr="008A7AD8">
              <w:t>pv_pac</w:t>
            </w:r>
            <w:proofErr w:type="spellEnd"/>
            <w:r w:rsidRPr="008A7AD8">
              <w:t xml:space="preserve"> </w:t>
            </w:r>
            <w:proofErr w:type="spellStart"/>
            <w:r w:rsidRPr="008A7AD8">
              <w:t>typ_pv</w:t>
            </w:r>
            <w:proofErr w:type="spellEnd"/>
            <w:r w:rsidRPr="008A7AD8">
              <w:t>="SM"&gt;)</w:t>
            </w:r>
            <w:r w:rsidR="008A7AD8" w:rsidRPr="008A7AD8">
              <w:t xml:space="preserve">. Stejně vyplnit i atribut </w:t>
            </w:r>
            <w:proofErr w:type="spellStart"/>
            <w:r w:rsidR="008A7AD8" w:rsidRPr="008A7AD8">
              <w:t>icz</w:t>
            </w:r>
            <w:proofErr w:type="spellEnd"/>
            <w:r w:rsidR="008A7AD8" w:rsidRPr="008A7AD8">
              <w:t xml:space="preserve">. V elementu </w:t>
            </w:r>
            <w:r w:rsidR="008A7AD8" w:rsidRPr="008A7AD8">
              <w:rPr>
                <w:highlight w:val="white"/>
              </w:rPr>
              <w:t>&lt;</w:t>
            </w:r>
            <w:proofErr w:type="spellStart"/>
            <w:r w:rsidR="008A7AD8" w:rsidRPr="008A7AD8">
              <w:rPr>
                <w:highlight w:val="white"/>
              </w:rPr>
              <w:t>nazev</w:t>
            </w:r>
            <w:proofErr w:type="spellEnd"/>
            <w:r w:rsidR="008A7AD8" w:rsidRPr="008A7AD8">
              <w:rPr>
                <w:highlight w:val="white"/>
              </w:rPr>
              <w:t>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:rsidTr="001F6822">
        <w:tc>
          <w:tcPr>
            <w:tcW w:w="2405" w:type="dxa"/>
          </w:tcPr>
          <w:p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:rsidR="008A7AD8" w:rsidRPr="008A7AD8" w:rsidRDefault="008A7AD8" w:rsidP="001F6822">
            <w:pPr>
              <w:rPr>
                <w:lang w:val="en-US"/>
              </w:rPr>
            </w:pPr>
            <w:r>
              <w:t xml:space="preserve">Atribut </w:t>
            </w:r>
            <w:proofErr w:type="spellStart"/>
            <w:r>
              <w:t>odb</w:t>
            </w:r>
            <w:proofErr w:type="spellEnd"/>
            <w:r>
              <w:t xml:space="preserve">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v případě pozitivních případů jde ale o vážný nedostatek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 w:rsidRPr="00FA6DE0">
              <w:t>Číslo mobilního telefonu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údaje je ale kritický pro kontaktování a informování pacienta nejen v případě pozitivních výsledků</w:t>
            </w:r>
          </w:p>
        </w:tc>
      </w:tr>
      <w:tr w:rsidR="00E92F3F" w:rsidTr="001F6822">
        <w:tc>
          <w:tcPr>
            <w:tcW w:w="2405" w:type="dxa"/>
          </w:tcPr>
          <w:p w:rsidR="00E92F3F" w:rsidRPr="00FA6DE0" w:rsidRDefault="00E92F3F" w:rsidP="001F6822">
            <w:r w:rsidRPr="00FA6DE0">
              <w:t xml:space="preserve">ID žádanky  </w:t>
            </w:r>
          </w:p>
        </w:tc>
        <w:tc>
          <w:tcPr>
            <w:tcW w:w="6657" w:type="dxa"/>
          </w:tcPr>
          <w:p w:rsidR="00E92F3F" w:rsidRPr="00132484" w:rsidRDefault="00E92F3F" w:rsidP="001F6822">
            <w:pPr>
              <w:rPr>
                <w:color w:val="FF0000"/>
              </w:rPr>
            </w:pPr>
            <w:r w:rsidRPr="00132484">
              <w:rPr>
                <w:color w:val="FF0000"/>
              </w:rPr>
              <w:t>V případě nedostupnosti</w:t>
            </w:r>
            <w:r w:rsidR="00132484" w:rsidRPr="00132484">
              <w:rPr>
                <w:color w:val="FF0000"/>
              </w:rPr>
              <w:t xml:space="preserve"> nejprve založit centrální žádanku</w:t>
            </w:r>
            <w:r w:rsidRPr="00132484">
              <w:rPr>
                <w:color w:val="FF0000"/>
              </w:rPr>
              <w:t xml:space="preserve"> </w:t>
            </w:r>
            <w:r w:rsidR="00132484" w:rsidRPr="00132484">
              <w:rPr>
                <w:color w:val="FF0000"/>
              </w:rPr>
              <w:t xml:space="preserve">a poté použít její číslo zde. </w:t>
            </w:r>
            <w:r w:rsidR="00132484">
              <w:rPr>
                <w:color w:val="FF0000"/>
              </w:rPr>
              <w:t xml:space="preserve"> Více o žádance zde: </w:t>
            </w:r>
            <w:r w:rsidR="00132484" w:rsidRPr="00132484">
              <w:rPr>
                <w:color w:val="FF0000"/>
              </w:rPr>
              <w:t>https://www.uzis.cz/res/file/dokumenty/formulare/zadanka-covid-19.pdf</w:t>
            </w:r>
          </w:p>
        </w:tc>
      </w:tr>
    </w:tbl>
    <w:p w:rsidR="001F6822" w:rsidRDefault="001F6822" w:rsidP="001F6822"/>
    <w:p w:rsidR="00AD46D5" w:rsidRDefault="00AD46D5" w:rsidP="00AD46D5">
      <w:pPr>
        <w:pStyle w:val="Nadpis1"/>
      </w:pPr>
      <w:r>
        <w:t>Implementované kontroly zasílaných dat</w:t>
      </w:r>
    </w:p>
    <w:p w:rsidR="00AD46D5" w:rsidRPr="00AD46D5" w:rsidRDefault="00AD46D5" w:rsidP="00AD46D5">
      <w:r>
        <w:t>V rámci importu jsou kontrolovány následující položky. Při porušení kontroly označené jako E (</w:t>
      </w:r>
      <w:proofErr w:type="spellStart"/>
      <w:r>
        <w:t>Error</w:t>
      </w:r>
      <w:proofErr w:type="spellEnd"/>
      <w:r>
        <w:t>) dojde k odmítnutí záznamu. Při porušení kontroly označené jako W (</w:t>
      </w:r>
      <w:proofErr w:type="spellStart"/>
      <w:r w:rsidR="00B963F7">
        <w:t>W</w:t>
      </w:r>
      <w:r>
        <w:t>arning</w:t>
      </w:r>
      <w:proofErr w:type="spellEnd"/>
      <w:r>
        <w:t xml:space="preserve">), bude záznam přijat, ale objeví se varovné hlášení ve zpětném hlášení o zpracování. </w:t>
      </w:r>
    </w:p>
    <w:p w:rsidR="00AD46D5" w:rsidRDefault="00AD46D5" w:rsidP="00AD46D5">
      <w:r>
        <w:t>Kontrola na číselníkové položky (mohou obsahovat jen vymezené hodnoty)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 w:rsidRPr="00FA6DE0">
        <w:t>Pohlaví pacienta</w:t>
      </w:r>
      <w:r>
        <w:t xml:space="preserve"> (E)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>
        <w:t xml:space="preserve"> (W)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diagnózy</w:t>
      </w:r>
      <w:r>
        <w:t xml:space="preserve"> (W)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m</w:t>
      </w:r>
      <w:r w:rsidRPr="00FA6DE0">
        <w:t>etod</w:t>
      </w:r>
      <w:r>
        <w:t>y</w:t>
      </w:r>
      <w:r w:rsidRPr="00FA6DE0">
        <w:t xml:space="preserve"> vyšetření</w:t>
      </w:r>
      <w:r>
        <w:t xml:space="preserve"> (E) – povolené kódy dle číselníku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výsledku vyšetření (E) – povolené kódy dle číselníku</w:t>
      </w:r>
    </w:p>
    <w:p w:rsidR="00AD46D5" w:rsidRDefault="00AD46D5" w:rsidP="00AD46D5">
      <w:r>
        <w:t>Kontrola datumových položek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 w:rsidRPr="00FA6DE0">
        <w:t>Datum narození pacienta</w:t>
      </w:r>
      <w:r>
        <w:t xml:space="preserve">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nesmí být v buducnosti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nesmí být v budoucnosti (E)</w:t>
      </w:r>
    </w:p>
    <w:p w:rsidR="00AD46D5" w:rsidRPr="00FA6DE0" w:rsidRDefault="00AD46D5" w:rsidP="00AD46D5">
      <w:pPr>
        <w:pStyle w:val="Odstavecseseznamem"/>
        <w:numPr>
          <w:ilvl w:val="0"/>
          <w:numId w:val="4"/>
        </w:numPr>
      </w:pPr>
      <w:r>
        <w:t>Datum vydání výsledku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musí být větší nebo rovno datu narození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musí být větší nebo rovno datu odběru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vydání výsledku musí být rovno nebo větší než datum vyšetření (E)</w:t>
      </w:r>
    </w:p>
    <w:p w:rsidR="00AD46D5" w:rsidRDefault="00AD46D5" w:rsidP="00AD46D5">
      <w:r>
        <w:t xml:space="preserve">Formát položek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Rodné číslo nesmí obsahovat nenumerické znaky + maximální délka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 xml:space="preserve">Číslo pojištěnce nesmí obsahovat nenumerické znaky + maximální délka (W) 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Telefonní číslo musí odpovídat formátem telefonnímu číslu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lastRenderedPageBreak/>
        <w:t>Délka položek ICO, ICZ, ICP nesmí být větší než 8 znaků (E)</w:t>
      </w:r>
    </w:p>
    <w:p w:rsidR="00AD46D5" w:rsidRPr="001F6822" w:rsidRDefault="00AD46D5" w:rsidP="001F6822"/>
    <w:p w:rsidR="001F6822" w:rsidRDefault="001F6822" w:rsidP="008E38E2">
      <w:pPr>
        <w:pStyle w:val="Nadpis1"/>
      </w:pPr>
    </w:p>
    <w:p w:rsidR="00C60ACE" w:rsidRDefault="00A208CF" w:rsidP="008E38E2">
      <w:pPr>
        <w:pStyle w:val="Nadpis1"/>
      </w:pPr>
      <w:r w:rsidRPr="00A208CF">
        <w:t>Způsob zasílání dat</w:t>
      </w:r>
    </w:p>
    <w:p w:rsidR="008E38E2" w:rsidRDefault="008E38E2" w:rsidP="008E38E2"/>
    <w:p w:rsidR="008E38E2" w:rsidRDefault="008E38E2" w:rsidP="008E38E2">
      <w:r>
        <w:t>Data je možné zasílat dvěma způsoby: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Manuální vložení souboru do prostředí centrálního úložiště dat (CÚD) na adrese </w:t>
      </w:r>
      <w:hyperlink r:id="rId16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7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</w:t>
      </w:r>
      <w:proofErr w:type="gramStart"/>
      <w:r w:rsidR="00FF2B9F">
        <w:t xml:space="preserve">prostředí)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Ikona</w:t>
      </w:r>
      <w:proofErr w:type="spellEnd"/>
      <w:r>
        <w:rPr>
          <w:lang w:val="en-US"/>
        </w:rPr>
        <w:t xml:space="preserve"> C</w:t>
      </w:r>
      <w:r>
        <w:t xml:space="preserve">ÚD. Data je třeba předat maximálně po 8 hodinách provozu, aby mohla být včas centrálně zpracována. Velikost souboru by také neměla přesáhnout </w:t>
      </w:r>
      <w:proofErr w:type="gramStart"/>
      <w:r>
        <w:t>1MB</w:t>
      </w:r>
      <w:proofErr w:type="gramEnd"/>
      <w:r>
        <w:t xml:space="preserve">. 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Automatické zasílání přes webové služby </w:t>
      </w:r>
    </w:p>
    <w:p w:rsidR="00E92F3F" w:rsidRDefault="00E92F3F" w:rsidP="00E92F3F">
      <w:pPr>
        <w:pStyle w:val="Odstavecseseznamem"/>
      </w:pPr>
    </w:p>
    <w:p w:rsidR="00FF2B9F" w:rsidRPr="00FF2B9F" w:rsidRDefault="00FF2B9F" w:rsidP="00FF2B9F">
      <w:pPr>
        <w:ind w:left="360"/>
        <w:rPr>
          <w:b/>
          <w:iCs/>
        </w:rPr>
      </w:pPr>
      <w:bookmarkStart w:id="1" w:name="_Toc413251213"/>
      <w:bookmarkStart w:id="2" w:name="_Toc7177404"/>
      <w:bookmarkStart w:id="3" w:name="_Toc21437944"/>
      <w:r w:rsidRPr="00FF2B9F">
        <w:rPr>
          <w:b/>
          <w:iCs/>
        </w:rPr>
        <w:t xml:space="preserve">Služba: </w:t>
      </w:r>
      <w:proofErr w:type="spellStart"/>
      <w:r w:rsidRPr="00FF2B9F">
        <w:rPr>
          <w:b/>
          <w:iCs/>
        </w:rPr>
        <w:t>ImportujData</w:t>
      </w:r>
      <w:bookmarkEnd w:id="1"/>
      <w:bookmarkEnd w:id="2"/>
      <w:bookmarkEnd w:id="3"/>
      <w:proofErr w:type="spellEnd"/>
    </w:p>
    <w:p w:rsidR="00FF2B9F" w:rsidRPr="00FF2B9F" w:rsidRDefault="00FF2B9F" w:rsidP="00FF2B9F">
      <w:pPr>
        <w:ind w:left="360"/>
      </w:pPr>
      <w:bookmarkStart w:id="4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</w:t>
      </w:r>
      <w:proofErr w:type="spellStart"/>
      <w:r w:rsidR="00D81692">
        <w:t>Zipovat</w:t>
      </w:r>
      <w:proofErr w:type="spellEnd"/>
      <w:r w:rsidR="00D81692">
        <w:t xml:space="preserve"> lze jen jeden XML soubor. 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5" w:name="_Toc7177405"/>
      <w:bookmarkStart w:id="6" w:name="_Toc21437945"/>
      <w:bookmarkStart w:id="7" w:name="_Toc395529646"/>
      <w:bookmarkStart w:id="8" w:name="_Toc396422923"/>
      <w:r w:rsidRPr="00FF2B9F">
        <w:rPr>
          <w:b/>
          <w:bCs/>
          <w:iCs/>
        </w:rPr>
        <w:t>URL služby</w:t>
      </w:r>
      <w:bookmarkEnd w:id="5"/>
      <w:bookmarkEnd w:id="6"/>
    </w:p>
    <w:p w:rsidR="00FF2B9F" w:rsidRPr="00FF2B9F" w:rsidRDefault="000F0446" w:rsidP="00FF2B9F">
      <w:pPr>
        <w:ind w:left="360"/>
        <w:rPr>
          <w:b/>
          <w:iCs/>
          <w:u w:val="single"/>
        </w:rPr>
      </w:pPr>
      <w:hyperlink w:history="1">
        <w:r w:rsidR="00FF2B9F" w:rsidRPr="00FF2B9F">
          <w:rPr>
            <w:rStyle w:val="Hypertextovodkaz"/>
          </w:rPr>
          <w:t>https://eregws.ksrzis.cz/ImportujData/ImportujData.svc</w:t>
        </w:r>
      </w:hyperlink>
      <w:r w:rsidR="00FF2B9F" w:rsidRPr="00FF2B9F">
        <w:rPr>
          <w:u w:val="single"/>
        </w:rPr>
        <w:t xml:space="preserve"> </w:t>
      </w:r>
      <w:r w:rsidR="00FF2B9F" w:rsidRPr="00FF2B9F">
        <w:t xml:space="preserve">pro produkční prostředí, </w:t>
      </w:r>
      <w:hyperlink r:id="rId18" w:history="1">
        <w:r w:rsidR="00FF2B9F" w:rsidRPr="00FF2B9F">
          <w:rPr>
            <w:rStyle w:val="Hypertextovodkaz"/>
          </w:rPr>
          <w:t>https://eregws2.ksrzis.cz/ImportujData/ImportujData.svc</w:t>
        </w:r>
      </w:hyperlink>
      <w:r w:rsidR="00FF2B9F" w:rsidRPr="00FF2B9F">
        <w:t xml:space="preserve"> pro testovací prostředí.</w:t>
      </w:r>
    </w:p>
    <w:p w:rsidR="00FF2B9F" w:rsidRPr="00FF2B9F" w:rsidRDefault="00FF2B9F" w:rsidP="00FF2B9F">
      <w:pPr>
        <w:ind w:left="360"/>
      </w:pPr>
      <w:r w:rsidRPr="00FF2B9F">
        <w:rPr>
          <w:u w:val="single"/>
        </w:rPr>
        <w:t xml:space="preserve">WSDL: </w:t>
      </w:r>
      <w:hyperlink w:history="1">
        <w:r w:rsidRPr="00FF2B9F">
          <w:rPr>
            <w:rStyle w:val="Hypertextovodkaz"/>
          </w:rPr>
          <w:t>https://eregws.ksrzis.cz/ImportujData/ImportujData.svc?singleWSDL</w:t>
        </w:r>
      </w:hyperlink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9" w:name="_Toc413251215"/>
      <w:bookmarkStart w:id="10" w:name="_Toc7177406"/>
      <w:bookmarkStart w:id="11" w:name="_Toc21437946"/>
      <w:bookmarkEnd w:id="4"/>
      <w:bookmarkEnd w:id="7"/>
      <w:bookmarkEnd w:id="8"/>
      <w:r w:rsidRPr="00FF2B9F">
        <w:rPr>
          <w:b/>
          <w:bCs/>
          <w:iCs/>
        </w:rPr>
        <w:t>Popis rozhraní služby</w:t>
      </w:r>
      <w:bookmarkEnd w:id="9"/>
      <w:bookmarkEnd w:id="10"/>
      <w:bookmarkEnd w:id="11"/>
    </w:p>
    <w:p w:rsidR="00FF2B9F" w:rsidRPr="00FF2B9F" w:rsidRDefault="00FF2B9F" w:rsidP="00FF2B9F">
      <w:pPr>
        <w:ind w:left="360"/>
      </w:pPr>
      <w:r w:rsidRPr="00FF2B9F">
        <w:t xml:space="preserve">Operace: </w:t>
      </w:r>
      <w:proofErr w:type="spellStart"/>
      <w:r w:rsidRPr="00FF2B9F">
        <w:t>ImportXML</w:t>
      </w:r>
      <w:proofErr w:type="spellEnd"/>
      <w:r w:rsidRPr="00FF2B9F">
        <w:t xml:space="preserve">, </w:t>
      </w:r>
      <w:proofErr w:type="spellStart"/>
      <w:r w:rsidRPr="00FF2B9F">
        <w:t>ImportZIP</w:t>
      </w:r>
      <w:proofErr w:type="spellEnd"/>
      <w:r w:rsidRPr="00FF2B9F">
        <w:t xml:space="preserve"> </w:t>
      </w:r>
    </w:p>
    <w:p w:rsidR="00FF2B9F" w:rsidRPr="00FF2B9F" w:rsidRDefault="00FF2B9F" w:rsidP="00FF2B9F">
      <w:pPr>
        <w:ind w:left="360"/>
      </w:pPr>
      <w:r w:rsidRPr="00FF2B9F">
        <w:t xml:space="preserve">Popis rozhraní: 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ImportXMLRequest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data ve formátu DASTA určená ke zpracování v CÚD.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spellStart"/>
      <w:r w:rsidRPr="00FF2B9F">
        <w:t>Vysledek</w:t>
      </w:r>
      <w:proofErr w:type="spellEnd"/>
      <w:r w:rsidRPr="00FF2B9F">
        <w:t xml:space="preserve"> – výsledek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/Popis – bližší popis výsledku importu dat</w:t>
      </w:r>
    </w:p>
    <w:p w:rsidR="00C837EB" w:rsidRDefault="00FF2B9F" w:rsidP="00C837EB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odpověď ve formátu DASTA s výsledkem přijetí souboru ke zpracování v CÚD; v atributu </w:t>
      </w:r>
      <w:proofErr w:type="spellStart"/>
      <w:r w:rsidRPr="00FF2B9F">
        <w:t>id_cud</w:t>
      </w:r>
      <w:proofErr w:type="spellEnd"/>
      <w:r w:rsidRPr="00FF2B9F">
        <w:t xml:space="preserve"> elementu </w:t>
      </w:r>
      <w:proofErr w:type="spellStart"/>
      <w:r w:rsidRPr="00FF2B9F">
        <w:t>pd</w:t>
      </w:r>
      <w:proofErr w:type="spellEnd"/>
      <w:r w:rsidRPr="00FF2B9F">
        <w:t xml:space="preserve"> je id dávky evidované v CÚD; v případě výskytu chyb při formální validaci obsahuje odpověď seznam chyb</w:t>
      </w:r>
    </w:p>
    <w:p w:rsidR="00C837EB" w:rsidRDefault="00C837EB" w:rsidP="00C837EB">
      <w:pPr>
        <w:ind w:left="360"/>
      </w:pPr>
    </w:p>
    <w:p w:rsidR="00C837EB" w:rsidRPr="000F0446" w:rsidRDefault="00C837EB" w:rsidP="00C837EB">
      <w:pPr>
        <w:ind w:left="360"/>
        <w:rPr>
          <w:b/>
          <w:iCs/>
          <w:color w:val="FF0000"/>
        </w:rPr>
      </w:pPr>
      <w:bookmarkStart w:id="12" w:name="_Toc43924587"/>
      <w:bookmarkStart w:id="13" w:name="_Toc413251220"/>
      <w:bookmarkStart w:id="14" w:name="_Toc7177410"/>
      <w:bookmarkStart w:id="15" w:name="_GoBack"/>
      <w:r w:rsidRPr="000F0446">
        <w:rPr>
          <w:b/>
          <w:iCs/>
          <w:color w:val="FF0000"/>
        </w:rPr>
        <w:t>Služba</w:t>
      </w:r>
      <w:r w:rsidRPr="000F0446">
        <w:rPr>
          <w:b/>
          <w:iCs/>
          <w:color w:val="FF0000"/>
        </w:rPr>
        <w:t xml:space="preserve"> </w:t>
      </w:r>
      <w:proofErr w:type="spellStart"/>
      <w:r w:rsidRPr="000F0446">
        <w:rPr>
          <w:b/>
          <w:iCs/>
          <w:color w:val="FF0000"/>
        </w:rPr>
        <w:t>VratStavDavky</w:t>
      </w:r>
      <w:bookmarkEnd w:id="12"/>
      <w:bookmarkEnd w:id="13"/>
      <w:bookmarkEnd w:id="14"/>
      <w:proofErr w:type="spellEnd"/>
    </w:p>
    <w:bookmarkEnd w:id="15"/>
    <w:p w:rsidR="00C837EB" w:rsidRDefault="00C837EB" w:rsidP="00C837EB">
      <w:pPr>
        <w:ind w:left="360"/>
      </w:pPr>
      <w:r>
        <w:t>Metoda slouží pro zjištění stavu dříve poslané dávky</w:t>
      </w:r>
      <w:r w:rsidR="00FF78AC">
        <w:t xml:space="preserve"> a zjištěných informací o obsahových chybách v datech</w:t>
      </w:r>
    </w:p>
    <w:p w:rsidR="00C837EB" w:rsidRDefault="00C837EB" w:rsidP="00C837EB">
      <w:pPr>
        <w:ind w:left="360"/>
      </w:pPr>
      <w:r>
        <w:t xml:space="preserve">Popis rozhraní: 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lastRenderedPageBreak/>
        <w:t>VratStavDavkyRequest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/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DavkaID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id dávky získané v response z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ImportXML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nebo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ImportZIP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(atribut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id_cud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elementu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pd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),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VratStavDavkyResponse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Obsahuje stav dávky a podřízených datových bloků včetně případných validačních chyb</w:t>
      </w:r>
    </w:p>
    <w:p w:rsidR="00FF78AC" w:rsidRDefault="00FF78AC" w:rsidP="00FF78AC">
      <w:pPr>
        <w:spacing w:before="120" w:after="0" w:line="264" w:lineRule="auto"/>
        <w:ind w:left="708"/>
        <w:jc w:val="both"/>
        <w:rPr>
          <w:lang w:eastAsia="x-none"/>
        </w:rPr>
      </w:pPr>
      <w:r>
        <w:rPr>
          <w:lang w:eastAsia="x-none"/>
        </w:rPr>
        <w:t xml:space="preserve">Popis bloku </w:t>
      </w:r>
      <w:proofErr w:type="spellStart"/>
      <w:r w:rsidRPr="00FF78AC">
        <w:rPr>
          <w:lang w:eastAsia="x-none"/>
        </w:rPr>
        <w:t>StavDavkyResult</w:t>
      </w:r>
      <w:proofErr w:type="spellEnd"/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DavkaId</w:t>
      </w:r>
      <w:proofErr w:type="spellEnd"/>
      <w:r>
        <w:rPr>
          <w:lang w:eastAsia="x-none"/>
        </w:rPr>
        <w:t xml:space="preserve"> – Id dávky v CÚD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StavDavky</w:t>
      </w:r>
      <w:proofErr w:type="spellEnd"/>
      <w:r>
        <w:rPr>
          <w:lang w:eastAsia="x-none"/>
        </w:rPr>
        <w:t xml:space="preserve"> – jedna z hodnot: </w:t>
      </w:r>
      <w:r w:rsidRPr="004C12D9">
        <w:rPr>
          <w:lang w:eastAsia="x-none"/>
        </w:rPr>
        <w:t xml:space="preserve">Novy (Nový), </w:t>
      </w:r>
      <w:proofErr w:type="spellStart"/>
      <w:r w:rsidRPr="004C12D9">
        <w:rPr>
          <w:lang w:eastAsia="x-none"/>
        </w:rPr>
        <w:t>FormalneBezChyb</w:t>
      </w:r>
      <w:proofErr w:type="spellEnd"/>
      <w:r w:rsidRPr="004C12D9">
        <w:rPr>
          <w:lang w:eastAsia="x-none"/>
        </w:rPr>
        <w:t xml:space="preserve"> (Formálně bez chyb</w:t>
      </w:r>
      <w:r>
        <w:rPr>
          <w:lang w:eastAsia="x-none"/>
        </w:rPr>
        <w:t>, přijato k dalšímu zpracování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SFormalnimiChybami</w:t>
      </w:r>
      <w:proofErr w:type="spellEnd"/>
      <w:r w:rsidRPr="004C12D9">
        <w:rPr>
          <w:lang w:eastAsia="x-none"/>
        </w:rPr>
        <w:t xml:space="preserve"> (S formálními chybami</w:t>
      </w:r>
      <w:r>
        <w:rPr>
          <w:lang w:eastAsia="x-none"/>
        </w:rPr>
        <w:t>, odmítnuto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OdeslanoKObsahoveValidaci</w:t>
      </w:r>
      <w:proofErr w:type="spellEnd"/>
      <w:r w:rsidRPr="004C12D9">
        <w:rPr>
          <w:lang w:eastAsia="x-none"/>
        </w:rPr>
        <w:t xml:space="preserve"> (Odesláno k obsahové validaci), </w:t>
      </w:r>
      <w:proofErr w:type="spellStart"/>
      <w:r w:rsidRPr="004C12D9">
        <w:rPr>
          <w:lang w:eastAsia="x-none"/>
        </w:rPr>
        <w:t>NeodeslanoKObsahoveValidaci</w:t>
      </w:r>
      <w:proofErr w:type="spellEnd"/>
      <w:r w:rsidRPr="004C12D9">
        <w:rPr>
          <w:lang w:eastAsia="x-none"/>
        </w:rPr>
        <w:t xml:space="preserve"> (Nebylo odesláno k obsahové validaci</w:t>
      </w:r>
      <w:r>
        <w:rPr>
          <w:lang w:eastAsia="x-none"/>
        </w:rPr>
        <w:t>, odm</w:t>
      </w:r>
      <w:r w:rsidR="00FF78AC">
        <w:rPr>
          <w:lang w:eastAsia="x-none"/>
        </w:rPr>
        <w:t>ítnuto</w:t>
      </w:r>
      <w:r w:rsidRPr="004C12D9">
        <w:rPr>
          <w:lang w:eastAsia="x-none"/>
        </w:rPr>
        <w:t xml:space="preserve">), </w:t>
      </w:r>
      <w:proofErr w:type="spellStart"/>
      <w:r w:rsidR="00FF78AC" w:rsidRPr="004C12D9">
        <w:rPr>
          <w:lang w:eastAsia="x-none"/>
        </w:rPr>
        <w:t>SObsahovymiChybami</w:t>
      </w:r>
      <w:proofErr w:type="spellEnd"/>
      <w:r w:rsidR="00FF78AC" w:rsidRPr="004C12D9">
        <w:rPr>
          <w:lang w:eastAsia="x-none"/>
        </w:rPr>
        <w:t xml:space="preserve"> (S obsahovými chybami)</w:t>
      </w:r>
      <w:r w:rsidRPr="004C12D9">
        <w:rPr>
          <w:lang w:eastAsia="x-none"/>
        </w:rPr>
        <w:t xml:space="preserve">, </w:t>
      </w:r>
      <w:proofErr w:type="spellStart"/>
      <w:r w:rsidRPr="004C12D9">
        <w:rPr>
          <w:lang w:eastAsia="x-none"/>
        </w:rPr>
        <w:t>BezObsahovychChyb</w:t>
      </w:r>
      <w:proofErr w:type="spellEnd"/>
      <w:r w:rsidRPr="004C12D9">
        <w:rPr>
          <w:lang w:eastAsia="x-none"/>
        </w:rPr>
        <w:t xml:space="preserve"> (Bez obsahových chyb)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DavkaInfo</w:t>
      </w:r>
      <w:proofErr w:type="spellEnd"/>
      <w:r>
        <w:rPr>
          <w:lang w:eastAsia="x-none"/>
        </w:rPr>
        <w:t xml:space="preserve"> – seznam elementů </w:t>
      </w:r>
      <w:proofErr w:type="spellStart"/>
      <w:r w:rsidRPr="004C12D9">
        <w:rPr>
          <w:lang w:eastAsia="x-none"/>
        </w:rPr>
        <w:t>DatovyBlokInfo</w:t>
      </w:r>
      <w:proofErr w:type="spellEnd"/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Stav – jedna z hodnot: </w:t>
      </w:r>
      <w:r w:rsidRPr="00231B1E">
        <w:rPr>
          <w:lang w:eastAsia="x-none"/>
        </w:rPr>
        <w:t xml:space="preserve">Novy (Nový), </w:t>
      </w:r>
      <w:proofErr w:type="spellStart"/>
      <w:r w:rsidRPr="00231B1E">
        <w:rPr>
          <w:lang w:eastAsia="x-none"/>
        </w:rPr>
        <w:t>OdeslanoKObsahoveValidaci</w:t>
      </w:r>
      <w:proofErr w:type="spellEnd"/>
      <w:r w:rsidRPr="00231B1E">
        <w:rPr>
          <w:lang w:eastAsia="x-none"/>
        </w:rPr>
        <w:t xml:space="preserve"> (Odesláno k obsahové validaci), </w:t>
      </w:r>
      <w:proofErr w:type="spellStart"/>
      <w:r w:rsidRPr="00231B1E">
        <w:rPr>
          <w:lang w:eastAsia="x-none"/>
        </w:rPr>
        <w:t>NeodeslanoKObsahoveValidaci</w:t>
      </w:r>
      <w:proofErr w:type="spellEnd"/>
      <w:r w:rsidRPr="00231B1E">
        <w:rPr>
          <w:lang w:eastAsia="x-none"/>
        </w:rPr>
        <w:t xml:space="preserve"> (Nebylo odesláno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NeprijatoKObsahoveValidaci</w:t>
      </w:r>
      <w:proofErr w:type="spellEnd"/>
      <w:r w:rsidRPr="00231B1E">
        <w:rPr>
          <w:lang w:eastAsia="x-none"/>
        </w:rPr>
        <w:t xml:space="preserve"> (Nebylo přijato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PrijatoBezChyb</w:t>
      </w:r>
      <w:proofErr w:type="spellEnd"/>
      <w:r w:rsidRPr="00231B1E">
        <w:rPr>
          <w:lang w:eastAsia="x-none"/>
        </w:rPr>
        <w:t xml:space="preserve"> (Přijato bez chyb), </w:t>
      </w:r>
      <w:proofErr w:type="spellStart"/>
      <w:r w:rsidRPr="00231B1E">
        <w:rPr>
          <w:lang w:eastAsia="x-none"/>
        </w:rPr>
        <w:t>PrijatoSChybami</w:t>
      </w:r>
      <w:proofErr w:type="spellEnd"/>
      <w:r w:rsidRPr="00231B1E">
        <w:rPr>
          <w:lang w:eastAsia="x-none"/>
        </w:rPr>
        <w:t xml:space="preserve"> (Přijato s chybami), </w:t>
      </w:r>
      <w:proofErr w:type="spellStart"/>
      <w:r w:rsidRPr="00231B1E">
        <w:rPr>
          <w:lang w:eastAsia="x-none"/>
        </w:rPr>
        <w:t>NeprijatoSChybami</w:t>
      </w:r>
      <w:proofErr w:type="spellEnd"/>
      <w:r w:rsidRPr="00231B1E">
        <w:rPr>
          <w:lang w:eastAsia="x-none"/>
        </w:rPr>
        <w:t xml:space="preserve"> (Nepřijato s chybami)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DatovyBlokId</w:t>
      </w:r>
      <w:proofErr w:type="spellEnd"/>
      <w:r>
        <w:rPr>
          <w:lang w:eastAsia="x-none"/>
        </w:rPr>
        <w:t xml:space="preserve"> - </w:t>
      </w:r>
      <w:r w:rsidRPr="00231B1E">
        <w:rPr>
          <w:lang w:eastAsia="x-none"/>
        </w:rPr>
        <w:t>Id</w:t>
      </w:r>
      <w:proofErr w:type="gramEnd"/>
      <w:r w:rsidRPr="00231B1E">
        <w:rPr>
          <w:lang w:eastAsia="x-none"/>
        </w:rPr>
        <w:t xml:space="preserve"> datového bloku v</w:t>
      </w:r>
      <w:r>
        <w:rPr>
          <w:lang w:eastAsia="x-none"/>
        </w:rPr>
        <w:t> </w:t>
      </w:r>
      <w:r w:rsidRPr="00231B1E">
        <w:rPr>
          <w:lang w:eastAsia="x-none"/>
        </w:rPr>
        <w:t>CÚD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 w:rsidRPr="00231B1E">
        <w:rPr>
          <w:lang w:eastAsia="x-none"/>
        </w:rPr>
        <w:t>ChybyVety</w:t>
      </w:r>
      <w:proofErr w:type="spellEnd"/>
      <w:r>
        <w:rPr>
          <w:lang w:eastAsia="x-none"/>
        </w:rPr>
        <w:t xml:space="preserve"> – seznam elementů Chyba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Kod</w:t>
      </w:r>
      <w:proofErr w:type="spellEnd"/>
      <w:r>
        <w:rPr>
          <w:lang w:eastAsia="x-none"/>
        </w:rPr>
        <w:t xml:space="preserve"> - Kód</w:t>
      </w:r>
      <w:proofErr w:type="gramEnd"/>
      <w:r>
        <w:rPr>
          <w:lang w:eastAsia="x-none"/>
        </w:rPr>
        <w:t xml:space="preserve">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Lokalizace - Bližší</w:t>
      </w:r>
      <w:proofErr w:type="gramEnd"/>
      <w:r>
        <w:rPr>
          <w:lang w:eastAsia="x-none"/>
        </w:rPr>
        <w:t xml:space="preserve"> lokalizace chyby ve zdrojových datech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Popis - Popis</w:t>
      </w:r>
      <w:proofErr w:type="gramEnd"/>
      <w:r>
        <w:rPr>
          <w:lang w:eastAsia="x-none"/>
        </w:rPr>
        <w:t xml:space="preserve">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 – jedna z hodnot: I – Ignorováno, </w:t>
      </w:r>
      <w:proofErr w:type="gramStart"/>
      <w:r>
        <w:rPr>
          <w:lang w:eastAsia="x-none"/>
        </w:rPr>
        <w:t>O - Odmítnuto</w:t>
      </w:r>
      <w:proofErr w:type="gramEnd"/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Uroven</w:t>
      </w:r>
      <w:proofErr w:type="spellEnd"/>
      <w:r>
        <w:rPr>
          <w:lang w:eastAsia="x-none"/>
        </w:rPr>
        <w:t xml:space="preserve"> – je podobné jako </w:t>
      </w: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, jedna z hodnot: </w:t>
      </w:r>
      <w:proofErr w:type="spellStart"/>
      <w:r>
        <w:rPr>
          <w:lang w:eastAsia="x-none"/>
        </w:rPr>
        <w:t>Info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Warning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Error</w:t>
      </w:r>
      <w:proofErr w:type="spellEnd"/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ElementXPath</w:t>
      </w:r>
      <w:proofErr w:type="spellEnd"/>
      <w:r>
        <w:rPr>
          <w:lang w:eastAsia="x-none"/>
        </w:rPr>
        <w:t xml:space="preserve"> - identifikace</w:t>
      </w:r>
      <w:proofErr w:type="gramEnd"/>
      <w:r>
        <w:rPr>
          <w:lang w:eastAsia="x-none"/>
        </w:rPr>
        <w:t xml:space="preserve"> chybného pole přes </w:t>
      </w:r>
      <w:proofErr w:type="spellStart"/>
      <w:r>
        <w:rPr>
          <w:lang w:eastAsia="x-none"/>
        </w:rPr>
        <w:t>XPath</w:t>
      </w:r>
      <w:proofErr w:type="spellEnd"/>
      <w:r>
        <w:rPr>
          <w:lang w:eastAsia="x-none"/>
        </w:rPr>
        <w:t xml:space="preserve"> 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CisloVety</w:t>
      </w:r>
      <w:proofErr w:type="spellEnd"/>
      <w:r>
        <w:rPr>
          <w:lang w:eastAsia="x-none"/>
        </w:rPr>
        <w:t xml:space="preserve"> - pořadové</w:t>
      </w:r>
      <w:proofErr w:type="gramEnd"/>
      <w:r>
        <w:rPr>
          <w:lang w:eastAsia="x-none"/>
        </w:rPr>
        <w:t xml:space="preserve"> číslo věty v rámci bloku </w:t>
      </w:r>
    </w:p>
    <w:p w:rsidR="00C837EB" w:rsidRPr="00FF2B9F" w:rsidRDefault="00C837EB" w:rsidP="00C837EB">
      <w:pPr>
        <w:ind w:left="360"/>
      </w:pP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6" w:name="_Toc413251217"/>
      <w:bookmarkStart w:id="17" w:name="_Toc7177407"/>
      <w:bookmarkStart w:id="18" w:name="_Toc21437947"/>
      <w:r w:rsidRPr="00FF2B9F">
        <w:rPr>
          <w:b/>
          <w:bCs/>
          <w:iCs/>
        </w:rPr>
        <w:t>Autentizace služby</w:t>
      </w:r>
      <w:bookmarkEnd w:id="16"/>
      <w:bookmarkEnd w:id="17"/>
      <w:bookmarkEnd w:id="18"/>
    </w:p>
    <w:p w:rsidR="00FF2B9F" w:rsidRPr="00FF2B9F" w:rsidRDefault="00FF2B9F" w:rsidP="00FF2B9F">
      <w:pPr>
        <w:ind w:left="360"/>
      </w:pPr>
      <w:r w:rsidRPr="00FF2B9F">
        <w:t>Autentizace: certifikátem vydaným ÚZIS pro dané zdravotnické zařízení nebo poskytovatele.</w:t>
      </w:r>
    </w:p>
    <w:p w:rsidR="00FF2B9F" w:rsidRPr="00FF2B9F" w:rsidRDefault="00FF2B9F" w:rsidP="00FF2B9F">
      <w:pPr>
        <w:ind w:left="360"/>
      </w:pPr>
      <w:r w:rsidRPr="00FF2B9F">
        <w:t xml:space="preserve">Typ autentizace: </w:t>
      </w:r>
      <w:proofErr w:type="spellStart"/>
      <w:r w:rsidRPr="00FF2B9F">
        <w:t>TransportWithMessageCredentials</w:t>
      </w:r>
      <w:proofErr w:type="spellEnd"/>
    </w:p>
    <w:p w:rsidR="00C837EB" w:rsidRDefault="00C837EB" w:rsidP="000F0446">
      <w:pPr>
        <w:rPr>
          <w:b/>
          <w:iCs/>
        </w:rPr>
      </w:pPr>
      <w:bookmarkStart w:id="19" w:name="_Toc395529644"/>
      <w:bookmarkStart w:id="20" w:name="_Toc396422921"/>
      <w:bookmarkStart w:id="21" w:name="_Toc7177412"/>
      <w:bookmarkStart w:id="22" w:name="_Toc21437952"/>
    </w:p>
    <w:p w:rsidR="00FF2B9F" w:rsidRPr="00FF2B9F" w:rsidRDefault="00FF2B9F" w:rsidP="00FF2B9F">
      <w:pPr>
        <w:ind w:left="360"/>
        <w:rPr>
          <w:b/>
          <w:iCs/>
        </w:rPr>
      </w:pPr>
      <w:r w:rsidRPr="00FF2B9F">
        <w:rPr>
          <w:b/>
          <w:iCs/>
        </w:rPr>
        <w:t>Obecné principy</w:t>
      </w:r>
      <w:bookmarkEnd w:id="19"/>
      <w:bookmarkEnd w:id="20"/>
      <w:bookmarkEnd w:id="21"/>
      <w:bookmarkEnd w:id="22"/>
    </w:p>
    <w:p w:rsidR="000B59FA" w:rsidRDefault="000B59FA" w:rsidP="00FF2B9F">
      <w:pPr>
        <w:numPr>
          <w:ilvl w:val="0"/>
          <w:numId w:val="3"/>
        </w:numPr>
        <w:ind w:left="1080"/>
      </w:pPr>
      <w:r>
        <w:t>Zpracování dávek je dvoufázové. V </w:t>
      </w:r>
      <w:r w:rsidR="000F0446">
        <w:t>p</w:t>
      </w:r>
      <w:r>
        <w:t xml:space="preserve">rvní fázi se synchronně ověřuje formální správnost zaslaných dat. Pokud jsou v pořádku, jsou přijata k dalšímu již asynchronnímu zpracování </w:t>
      </w:r>
      <w:r w:rsidR="000F0446">
        <w:t xml:space="preserve">a kontrole obsahu. </w:t>
      </w:r>
      <w:r>
        <w:t xml:space="preserve"> </w:t>
      </w:r>
      <w:r w:rsidR="000F0446">
        <w:t xml:space="preserve">Pro zjištění finálního výsledku a stažení seznamu případných </w:t>
      </w:r>
      <w:r w:rsidR="000F0446">
        <w:lastRenderedPageBreak/>
        <w:t xml:space="preserve">obsahových chyb je třeba volat službu </w:t>
      </w:r>
      <w:proofErr w:type="spellStart"/>
      <w:r w:rsidR="000F0446">
        <w:t>VratStavDavky</w:t>
      </w:r>
      <w:proofErr w:type="spellEnd"/>
      <w:r w:rsidR="000F0446">
        <w:t xml:space="preserve">. </w:t>
      </w:r>
      <w:r w:rsidR="000F0446" w:rsidRPr="000F0446">
        <w:rPr>
          <w:b/>
        </w:rPr>
        <w:t xml:space="preserve">Potvrzení přijetí službou </w:t>
      </w:r>
      <w:proofErr w:type="spellStart"/>
      <w:r w:rsidR="000F0446" w:rsidRPr="000F0446">
        <w:rPr>
          <w:b/>
        </w:rPr>
        <w:t>ImportXML</w:t>
      </w:r>
      <w:proofErr w:type="spellEnd"/>
      <w:r w:rsidR="000F0446" w:rsidRPr="000F0446">
        <w:rPr>
          <w:b/>
        </w:rPr>
        <w:t xml:space="preserve"> není definitivních potvrzením správnosti a akceptací dat.</w:t>
      </w:r>
      <w:r w:rsidR="000F0446" w:rsidRPr="000F0446">
        <w:t xml:space="preserve"> </w:t>
      </w:r>
    </w:p>
    <w:p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t>Všechna XML data obsahující data dávek jsou při přenosu webovými službami kódována pomocí base64 kódování. Předejde se tím případným problémům při přenosu dat ve formátu XML.</w:t>
      </w:r>
    </w:p>
    <w:p w:rsidR="008E38E2" w:rsidRPr="000F0446" w:rsidRDefault="00E92F3F" w:rsidP="008E38E2">
      <w:pPr>
        <w:rPr>
          <w:lang w:val="en-US"/>
        </w:rPr>
      </w:pPr>
      <w:r w:rsidRPr="000F0446">
        <w:t xml:space="preserve">Pro automatizaci zasílání je k dispozici utilita pro systém Windows, kterou lze spouštět z příkazového řádku. Parametrem je zasílaný XML soubor.  V případě zájmu o tuto aplikaci, kontaktujte </w:t>
      </w:r>
      <w:proofErr w:type="spellStart"/>
      <w:r w:rsidRPr="000F0446">
        <w:t>daniel.klimes</w:t>
      </w:r>
      <w:proofErr w:type="spellEnd"/>
      <w:r w:rsidRPr="000F0446">
        <w:rPr>
          <w:lang w:val="en-US"/>
        </w:rPr>
        <w:t>@uzis.cz</w:t>
      </w:r>
    </w:p>
    <w:p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F4E93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32F"/>
    <w:multiLevelType w:val="hybridMultilevel"/>
    <w:tmpl w:val="603E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144C"/>
    <w:multiLevelType w:val="hybridMultilevel"/>
    <w:tmpl w:val="C846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423BE"/>
    <w:rsid w:val="000B59FA"/>
    <w:rsid w:val="000F0446"/>
    <w:rsid w:val="001119D8"/>
    <w:rsid w:val="00132484"/>
    <w:rsid w:val="001C1FB5"/>
    <w:rsid w:val="001F6822"/>
    <w:rsid w:val="00240032"/>
    <w:rsid w:val="003340A6"/>
    <w:rsid w:val="00335AD1"/>
    <w:rsid w:val="00361AEF"/>
    <w:rsid w:val="00372473"/>
    <w:rsid w:val="003A608B"/>
    <w:rsid w:val="003F5055"/>
    <w:rsid w:val="00401CC3"/>
    <w:rsid w:val="00433D2B"/>
    <w:rsid w:val="00471241"/>
    <w:rsid w:val="004C2835"/>
    <w:rsid w:val="004E0DD4"/>
    <w:rsid w:val="004E252F"/>
    <w:rsid w:val="005641CB"/>
    <w:rsid w:val="00575367"/>
    <w:rsid w:val="00577D28"/>
    <w:rsid w:val="005926DF"/>
    <w:rsid w:val="00592C67"/>
    <w:rsid w:val="005C619D"/>
    <w:rsid w:val="00675CD9"/>
    <w:rsid w:val="00695A57"/>
    <w:rsid w:val="006A48A2"/>
    <w:rsid w:val="007038EE"/>
    <w:rsid w:val="00712F75"/>
    <w:rsid w:val="0074494D"/>
    <w:rsid w:val="00751C31"/>
    <w:rsid w:val="007945D1"/>
    <w:rsid w:val="007C60EC"/>
    <w:rsid w:val="008A6630"/>
    <w:rsid w:val="008A7AD8"/>
    <w:rsid w:val="008E38E2"/>
    <w:rsid w:val="009B2D25"/>
    <w:rsid w:val="00A208CF"/>
    <w:rsid w:val="00A304DB"/>
    <w:rsid w:val="00A81E07"/>
    <w:rsid w:val="00AD46D5"/>
    <w:rsid w:val="00AF0C40"/>
    <w:rsid w:val="00B5786D"/>
    <w:rsid w:val="00B57C93"/>
    <w:rsid w:val="00B963F7"/>
    <w:rsid w:val="00BE0095"/>
    <w:rsid w:val="00C12088"/>
    <w:rsid w:val="00C60ACE"/>
    <w:rsid w:val="00C837EB"/>
    <w:rsid w:val="00C96F90"/>
    <w:rsid w:val="00D13D2C"/>
    <w:rsid w:val="00D155AE"/>
    <w:rsid w:val="00D30050"/>
    <w:rsid w:val="00D30E89"/>
    <w:rsid w:val="00D81692"/>
    <w:rsid w:val="00D87E22"/>
    <w:rsid w:val="00DB02AB"/>
    <w:rsid w:val="00E33C53"/>
    <w:rsid w:val="00E92F3F"/>
    <w:rsid w:val="00F1500C"/>
    <w:rsid w:val="00F43505"/>
    <w:rsid w:val="00F7632B"/>
    <w:rsid w:val="00FA6DE0"/>
    <w:rsid w:val="00FF2B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37C8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  <w:style w:type="paragraph" w:styleId="Seznamsodrkami">
    <w:name w:val="List Bullet"/>
    <w:basedOn w:val="Normln"/>
    <w:uiPriority w:val="99"/>
    <w:qFormat/>
    <w:rsid w:val="00C837EB"/>
    <w:pPr>
      <w:numPr>
        <w:numId w:val="6"/>
      </w:numPr>
      <w:spacing w:before="60" w:after="0" w:line="264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eregws2.ksrzis.cz/ImportujData/ImportujData.s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ereg2.ksrzi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eg.ksrzis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dastacr.cz/dasta/hypertext/MZAUJ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1831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Klimeš Daniel RNDr. Ph.D.</cp:lastModifiedBy>
  <cp:revision>6</cp:revision>
  <dcterms:created xsi:type="dcterms:W3CDTF">2020-06-01T10:24:00Z</dcterms:created>
  <dcterms:modified xsi:type="dcterms:W3CDTF">2020-09-02T20:42:00Z</dcterms:modified>
</cp:coreProperties>
</file>